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319</w:t>
      </w:r>
    </w:p>
    <w:p>
      <w:r>
        <w:t>Bundesgericht (BGE), 1979-12-20, DE</w:t>
      </w:r>
    </w:p>
    <w:p>
      <w:r>
        <w:rPr>
          <w:b/>
        </w:rPr>
        <w:t xml:space="preserve">Quelle: </w:t>
      </w:r>
      <w:r>
        <w:t>https://mcp.opencaselaw.ch/entscheid/bge_105 V 319</w:t>
      </w:r>
    </w:p>
    <w:p>
      <w:r>
        <w:t>FR: ATF 105 V 319</w:t>
      </w:r>
    </w:p>
    <w:p>
      <w:r>
        <w:t>IT: DTF 105 V 319</w:t>
      </w:r>
    </w:p>
    <w:p>
      <w:pPr>
        <w:pStyle w:val="Heading2"/>
      </w:pPr>
      <w:r>
        <w:t>Regeste</w:t>
      </w:r>
    </w:p>
    <w:p>
      <w:r>
        <w:t>Regeste Art. 25 Abs. 3 und Art. 40bis MVG. - Rentenanspruch bei gleichzeitiger Beeinträchtigung der Erwerbsfähigkeit und der körperlichen oder psychischen Integrität; Bestätigung der Praxis (Erw. 1). - Versicherte, die eine Rente gemäss Art. 25 Abs. 3 MVG beziehen, haben keinen Anspruch auf Genugtuung (Erw. 2). - Bemerkung de lege ferenda (Erw. 3).</w:t>
      </w:r>
    </w:p>
    <w:p>
      <w:pPr>
        <w:pStyle w:val="Heading2"/>
      </w:pPr>
      <w:r>
        <w:t>Erwägungen</w:t>
      </w:r>
    </w:p>
    <w:p>
      <w:r>
        <w:rPr>
          <w:b/>
        </w:rPr>
        <w:t>E. 1</w:t>
      </w:r>
    </w:p>
    <w:p>
      <w:r>
        <w:t>a) Nach Art. 23 Abs. 1 MVG besteht Anspruch auf eine Invalidenrente, wenn von der Fortsetzung der ärztlichen BGE 105 V 319 S. 322 Behandlung keine namhafte Besserung des Gesundheitszustandes des Versicherten mehr erwartet werden kann und die versicherte Gesundheitsschädigung eine voraussichtlich bleibende Beeinträchtigung der Erwerbsfähigkeit oder eine erhebliche Beeinträchtigung der körperlichen oder psychischen Integrität hinterlässt. Im ersten Fall richtet sich die Höhe der Leistung im Rahmen von Art. 24 MVG nach dem Grad der Erwerbsunfähigkeit, welcher ermittelt wird durch Vergleich des Einkommens, welches der Versicherte ohne den Gesundheitsschaden zu erzielen vermöchte, mit dem Einkommen, welches er trotz der versicherten Gesundheitsschädigung nach seinen beruflichen Fähigkeiten bei ausgeglichener Arbeitsmarktlage noch zu erwerben fähig ist (EVGE 1967, S. 22). Die Rente für erhebliche Beeinträchtigung der körperlichen oder psychischen Integrität wird in Würdigung aller Umstände nach billigem Ermessen festgesetzt ( Art. 25 Abs. 1 MVG ). Für die Berechnung der Integritätsrente ist in der Regel ein Leistungsansatz von 85% und der Mittelwert zwischen dem gesetzlichen Verdienstminimum und dem gesetzlichen Verdienstmaximum massgebend (EVGE 1968, S. 88, 1966, S. 148). Laut Art. 25 Abs. 3 MVG wird bei gleichzeitigem Vorliegen einer Beeinträchtigung der Erwerbsfähigkeit und einer erheblichen Beeinträchtigung der körperlichen oder psychischen Integrität nur eine Rente zugesprochen, bei deren Berechnung jedoch beiden Beeinträchtigungen Rechnung getragen wird. b) In EVGE 1966, S. 151 Erw. 2, hat das Eidg. Versicherungsgericht ausgeführt, beim Zusammentreffen von Erwerbsunfähigkeit und erheblicher Beeinträchtigung der Integrität habe der Integritätsschaden regelmässig als im Invaliditätsansatz mitenthalten zu gelten, wenn die Verminderung der Erwerbsfähigkeit schwerer wiege. Beeinträchtige der körperliche oder psychische Nachteil die Erwerbsfähigkeit in geringerem Masse oder gar nicht, sei er aber als Integritätsschaden erheblich, so sei eine Rente für Integritätsschädigung auszurichten. Diese Rentenart sei nicht eingeführt worden, um die ökonomische und integritätsmässige Beeinträchtigung kumulativ zu entschädigen; vielmehr habe man damit verhüten wollen, dass der Versicherte, der keine erwerbliche Einbusse, wohl aber einen erheblichen Integritätsschaden erleide, leer ausgehe. Im grundsätzlichen Urteil vom 27. November 1970 i.S. Rey ( BGE 96 V 110 ) hat das Gericht diese Praxis dahingehend präzisiert, BGE 105 V 319 S. 323 dass im Hinblick auf die unterschiedlichen Regeln für die Bemessung und Berechnung der Renten nicht nur eine Kumulation, sondern auch eine Kombination von Renten wegen Integritätsschädigung und Beeinträchtigung der Erwerbsfähigkeit ausgeschlossen sei. Die gesetzliche Regelung, wonach nur eine Rente auszurichten, jedoch beiden Beeinträchtigungen Rechnung zu tragen sei, müsse in dem Sinne verstanden werden, dass der im Einzelfall überwiegende Schaden voll zu entschädigen sei. Dabei sei in der Weise vorzugehen, dass die Rente für beide Schadensarten nach den hiefür massgebenden Bemessungs- und Berechnungsregeln getrennt festgesetzt und dem Versicherten die jeweils höhere Rente zugesprochen werde. An dieser (im Urteil vom 5. September 1978 i.S. Nussbaum bestätigten) Rechtsprechung ist gemäss einem Beschluss des Gesamtgerichts vom 24. September 1979 festzuhalten.</w:t>
      </w:r>
    </w:p>
    <w:p>
      <w:r>
        <w:rPr>
          <w:b/>
        </w:rPr>
        <w:t>E. 2</w:t>
      </w:r>
    </w:p>
    <w:p>
      <w:r>
        <w:t>a) Der Beschwerdeführer ist zufolge des im Militärdienst erlittenen Unfalls vollständig invalid und in der (psychischen) Integrität erheblich beeinträchtigt. Dabei ist unbestritten, dass die Voraussetzungen zur Zusprechung einer Integritätsrente an sich erfüllt sind. Da die erwerblichen Auswirkungen des Gesundheitsschadens eindeutig schwerer wiegen, ist die Rente jedoch nach Massgabe der Beeinträchtigung in der Erwerbsfähigkeit auszurichten. Der Beschwerdeführer schliesst hieraus, dass der Integritätsnachteil in Form einer Genugtuung gemäss Art. 40bis MVG zu entschädigen sei. Nach dieser Bestimmung kann die Militärversicherung bei Körperverletzung oder im Todesfall unter Würdigung der besonderen Umstände dem Versicherten bzw. dessen Angehörigen eine angemessene Geldsumme als Genugtuung zusprechen. Gemäss Absatz 2 der Bestimmung schliesst die Rente für Beeinträchtigung der körperlichen oder psychischen Integrität die Genugtuung aus. b) In rechtlicher Hinsicht stellt sich die Frage nach dem Verhältnis des Art. 25 Abs. 3 zu Art. 40bis MVG . Streitig ist, ob Art. 40bis Abs. 2 MVG auch dann Anwendung zu finden hat, wenn nicht eine reine Integritätsrente, sondern eine Rente zur Ausrichtung gelangt, die im Sinne von Art. 25 Abs. 3 MVG und der zugehörigen Praxis sowohl der Beeinträchtigung der Integrität wie derjenigen der Erwerbsfähigkeit Rechnung trägt. In EVGE 1966, S. 151, hat das Gericht die Frage nach den Auswirkungen des (auf den 1. Januar 1964 in Kraft getretenen) Art. 40bis MVG auf die Praxis zu Art. 25 Abs. 3 MVG offen BGE 105 V 319 S. 324 gelassen. Im Urteil vom 28. Februar 1967 i.S. Barlogis stellte es sinngemäss fest, dass kein Anspruch auf Genugtuung bestehe, falls der Versicherte eine Rente beziehe, die nach Art. 25 Abs. 3 MVG eine Wertkomponente enthalte, welche den Integritätsschaden abgelte. Nach der mit Urteil vom 27. November 1970 i.S. Rey ( BGE 96 V 110 ) begründeten neuen Praxis wird zwar ausschliesslich derjenige Nachteil entschädigt, der, für sich allein betrachtet, die höhere Leistung ergibt. Dies ändert grundsätzlich jedoch nichts daran, dass der geringere Nachteil in der zur Ausrichtung gelangenden höheren Rente enthalten ist und mit dieser abgegolten wird. Ungeachtet dessen, dass die Beeinträchtigung in der Integrität nicht in Form eines Zuschlages zur Erwerbsausfallrente entschädigt wird, steht dem Versicherten, welcher eine Rente nach Art. 25 Abs. 3 MVG bezieht, daher keine Genugtuung zu. Dass der Beschwerdeführer auf Grund der Beeinträchtigung in der Erwerbsfähigkeit Anspruch auf die gemäss Art. 24 MVG höchstmögliche Rente (Invalidität von 100%, Leistungsansatz 90%, anrechenbarer Jahresverdienst im gesetzlichen Höchstbetrag) hat, vermag zu keinem andern Ergebnis zu führen. Der Integritätsnachteil hat auch unter solchen Umständen durch die (höhere) Rente wegen Beeinträchtigung der Erwerbsfähigkeit als entschädigt zu gelten, weshalb sich die Zusprechung einer Genugtuung mit Art. 40bis Abs. 2 MVG nicht vereinbaren lässt. Der vom Beschwerdeführer beantragten subsidiären Entschädigung des Integritätsnachteils in Form einer Genugtuung stünde zudem der unterschiedliche Charakter der beiden Leistungsarten entgegen (vgl. BGE 96 V 113 sowie BBl 1963 I 865).</w:t>
      </w:r>
    </w:p>
    <w:p>
      <w:r>
        <w:rPr>
          <w:b/>
        </w:rPr>
        <w:t>E. 3</w:t>
      </w:r>
    </w:p>
    <w:p>
      <w:r>
        <w:t>Das Gericht verkennt nicht, dass die geltende Regelung zu unbefriedigenden Ergebnissen führt. Diese resultieren jedoch aus der gesetzlichen Ordnung, welche sich durch ein Nebeneinander nicht eindeutig abgegrenzter Leistungen sowie deren undifferenzierte Unterordnung unter die Höchstgrenze kennzeichnet. Die bestehenden Mängel können daher nicht mit einer blossen Praxisänderung, sondern nur auf dem Wege der Gesetzgebung behoben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